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До:………………………………………….</w:t>
      </w:r>
    </w:p>
    <w:p>
      <w:pPr>
        <w:spacing w:before="120" w:after="0" w:line="240"/>
        <w:ind w:right="0" w:left="0" w:firstLine="567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567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Уважаеми………………..</w:t>
      </w:r>
    </w:p>
    <w:p>
      <w:pPr>
        <w:spacing w:before="90" w:after="375" w:line="540"/>
        <w:ind w:right="0" w:left="0" w:firstLine="0"/>
        <w:jc w:val="left"/>
        <w:rPr>
          <w:rFonts w:ascii="Arial" w:hAnsi="Arial" w:cs="Arial" w:eastAsia="Arial"/>
          <w:b/>
          <w:color w:val="252525"/>
          <w:spacing w:val="0"/>
          <w:position w:val="0"/>
          <w:sz w:val="16"/>
          <w:shd w:fill="FFFFFF" w:val="clear"/>
        </w:rPr>
      </w:pPr>
      <w:r>
        <w:rPr>
          <w:rFonts w:ascii="Arial" w:hAnsi="Arial" w:cs="Arial" w:eastAsia="Arial"/>
          <w:b/>
          <w:color w:val="0F0F0F"/>
          <w:spacing w:val="0"/>
          <w:position w:val="0"/>
          <w:sz w:val="16"/>
          <w:shd w:fill="FFFFFF" w:val="clear"/>
        </w:rPr>
        <w:t xml:space="preserve">Държавен вестник, брой 101 от 27.XI .2020 </w:t>
      </w:r>
      <w:r>
        <w:rPr>
          <w:rFonts w:ascii="Arial" w:hAnsi="Arial" w:cs="Arial" w:eastAsia="Arial"/>
          <w:b/>
          <w:color w:val="252525"/>
          <w:spacing w:val="0"/>
          <w:position w:val="0"/>
          <w:sz w:val="16"/>
          <w:shd w:fill="FFFFFF" w:val="clear"/>
        </w:rPr>
        <w:t xml:space="preserve">ДОГОВОР </w:t>
      </w:r>
      <w:r>
        <w:rPr>
          <w:rFonts w:ascii="Segoe UI Symbol" w:hAnsi="Segoe UI Symbol" w:cs="Segoe UI Symbol" w:eastAsia="Segoe UI Symbol"/>
          <w:b/>
          <w:color w:val="252525"/>
          <w:spacing w:val="0"/>
          <w:position w:val="0"/>
          <w:sz w:val="16"/>
          <w:shd w:fill="FFFFFF" w:val="clear"/>
        </w:rPr>
        <w:t xml:space="preserve">№</w:t>
      </w:r>
      <w:r>
        <w:rPr>
          <w:rFonts w:ascii="Arial" w:hAnsi="Arial" w:cs="Arial" w:eastAsia="Arial"/>
          <w:b/>
          <w:color w:val="252525"/>
          <w:spacing w:val="0"/>
          <w:position w:val="0"/>
          <w:sz w:val="16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252525"/>
          <w:spacing w:val="0"/>
          <w:position w:val="0"/>
          <w:sz w:val="16"/>
          <w:shd w:fill="FFFFFF" w:val="clear"/>
        </w:rPr>
        <w:t xml:space="preserve">РД-НС-01-4-5 ОТ 26 НОЕМВРИ 2020 Г. ЗА ИЗМЕНЕНИЕ И ДОПЪЛНЕНИЕ НА НРД  ЗА МЕДИЦИНСКИТЕ ДЕЙНОСТИ МЕЖДУ НЗОК  И БЪЛГАРСКИЯ ЛЕКАРСКИ СЪЮЗ ЗА 2020 - 2022 г.:</w:t>
      </w:r>
    </w:p>
    <w:p>
      <w:pPr>
        <w:spacing w:before="120" w:after="0" w:line="240"/>
        <w:ind w:right="0" w:left="0" w:firstLine="567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Изследването за наличие на SARS-COV2 вирус с PSR тест  не е   ангажимент на СЕМЕЙНИЯ ЛЕКАР при следните случаи:</w:t>
      </w:r>
    </w:p>
    <w:p>
      <w:pPr>
        <w:spacing w:before="90" w:after="375" w:line="540"/>
        <w:ind w:right="0" w:left="0" w:firstLine="0"/>
        <w:jc w:val="left"/>
        <w:rPr>
          <w:rFonts w:ascii="Tahoma" w:hAnsi="Tahoma" w:cs="Tahoma" w:eastAsia="Tahoma"/>
          <w:b/>
          <w:color w:val="252525"/>
          <w:spacing w:val="0"/>
          <w:position w:val="0"/>
          <w:sz w:val="21"/>
          <w:shd w:fill="FFFFFF" w:val="clear"/>
        </w:rPr>
      </w:pPr>
      <w:r>
        <w:rPr>
          <w:rFonts w:ascii="Tahoma" w:hAnsi="Tahoma" w:cs="Tahoma" w:eastAsia="Tahoma"/>
          <w:b/>
          <w:color w:val="252525"/>
          <w:spacing w:val="0"/>
          <w:position w:val="0"/>
          <w:sz w:val="21"/>
          <w:shd w:fill="FFFFFF" w:val="clear"/>
        </w:rPr>
        <w:t xml:space="preserve">Чл.223а(3) Общопрактикуващият лекар не издава направление за ВСМДИ "Полимеразна верижна реакция за доказване на COVID-19" на пациенти, които са хоспитализирани или насочени за хоспитализация по повод влошено или тежко общо състояние, както и за контролни, скринингови изследвания или изследвания на контактни безсимптомни лица. </w:t>
      </w:r>
    </w:p>
    <w:p>
      <w:pPr>
        <w:spacing w:before="90" w:after="375" w:line="540"/>
        <w:ind w:right="0" w:left="0" w:firstLine="0"/>
        <w:jc w:val="left"/>
        <w:rPr>
          <w:rFonts w:ascii="Tahoma" w:hAnsi="Tahoma" w:cs="Tahoma" w:eastAsia="Tahoma"/>
          <w:b/>
          <w:color w:val="252525"/>
          <w:spacing w:val="0"/>
          <w:position w:val="0"/>
          <w:sz w:val="21"/>
          <w:shd w:fill="FFFFFF" w:val="clear"/>
        </w:rPr>
      </w:pPr>
      <w:r>
        <w:rPr>
          <w:rFonts w:ascii="Tahoma" w:hAnsi="Tahoma" w:cs="Tahoma" w:eastAsia="Tahoma"/>
          <w:b/>
          <w:color w:val="252525"/>
          <w:spacing w:val="0"/>
          <w:position w:val="0"/>
          <w:sz w:val="21"/>
          <w:shd w:fill="FFFFFF" w:val="clear"/>
        </w:rPr>
        <w:t xml:space="preserve">ОПЛ преценява необходимостта от извършване ПСР </w:t>
      </w:r>
      <w:r>
        <w:rPr>
          <w:rFonts w:ascii="Tahoma" w:hAnsi="Tahoma" w:cs="Tahoma" w:eastAsia="Tahoma"/>
          <w:b/>
          <w:color w:val="252525"/>
          <w:spacing w:val="0"/>
          <w:position w:val="0"/>
          <w:sz w:val="21"/>
          <w:shd w:fill="FFFFFF" w:val="clear"/>
        </w:rPr>
        <w:t xml:space="preserve">–</w:t>
      </w:r>
      <w:r>
        <w:rPr>
          <w:rFonts w:ascii="Tahoma" w:hAnsi="Tahoma" w:cs="Tahoma" w:eastAsia="Tahoma"/>
          <w:b/>
          <w:color w:val="252525"/>
          <w:spacing w:val="0"/>
          <w:position w:val="0"/>
          <w:sz w:val="21"/>
          <w:shd w:fill="FFFFFF" w:val="clear"/>
        </w:rPr>
        <w:t xml:space="preserve">тест и  издава направлението при наличие на поне 2 (два) от следните симптоми: новопоявила се температура; новопоявила се кашлица, предимно суха; новопоявила се отпадналост; новопоявили се загуба на вкус и/или обоняние; новопоявило се затруднено дишане или недостиг на въздух; миалгия; главоболие; диария; гадене и повръщане; гърлобол; кислородно насищане, по-малко от 92 % или по-малко от 88 % (ако пациентът е с ХОББ) при проведена пулсоксиметрия, ако има такава възможност.</w:t>
      </w:r>
    </w:p>
    <w:p>
      <w:pPr>
        <w:spacing w:before="120" w:after="0" w:line="240"/>
        <w:ind w:right="0" w:left="0" w:firstLine="567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object w:dxaOrig="9797" w:dyaOrig="1556">
          <v:rect xmlns:o="urn:schemas-microsoft-com:office:office" xmlns:v="urn:schemas-microsoft-com:vml" id="rectole0000000000" style="width:489.850000pt;height:77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